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after="0"/>
        <w:rPr>
          <w:rFonts w:ascii="Times New Roman" w:hAnsi="Times New Roman" w:cs="Times New Roman" w:eastAsia="Droid Sans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Droid Sans"/>
          <w:b/>
          <w:sz w:val="28"/>
          <w:szCs w:val="28"/>
          <w:lang w:bidi="hi-IN" w:eastAsia="hi-IN"/>
        </w:rPr>
        <w:t xml:space="preserve">(тридцять шоста сесія сьомого скликання)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26 грудня  2019 року</w:t>
        <w:tab/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680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ind w:right="4960"/>
        <w:jc w:val="both"/>
        <w:spacing w:lineRule="auto" w:line="240" w:after="170" w:afterAutospacing="0" w:before="17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 затвердження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/>
    </w:p>
    <w:p>
      <w:pPr>
        <w:ind w:firstLine="851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про постійні численні звернення жителів громади та керівників підпорядкованих Менській міській раді установ та організацій з приводу видалення аварійних, сухостійних дерев на території населених пунктів Менської ОТГ, створення загрози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життю та майну громадян та комунального майна, з метою забезпечення безпеки для життя, здоров’я та майна людей, збереження майна громади, запобігання аварійним відключення повітряних ліній електропередач, ліній зв’язку, інших комунікацій та виникненням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аварійних ситуацій, пов’язаних з падінням аварійних дерев на те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риторії громади, керуючись пунктом 22 ст.26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Закону України «Про місцеве самоврядування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Україні», Менська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 рада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видалення аварійних та небезпечних дерев на території населених пунктів Менської об’єднаної територіа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льної громади на 2020-2022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згідно з додатком 1 до даного рішення.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 пла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нуванні бюджетів об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єднаної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2020-2022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роки передбачити видатки на виконання Програми.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3.Відділу бухгалтерського обліку та звітності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 оприбутковувати видалену деревину, оплата послуг за видалення якої за Програмою здійснювалась за рахунок місцевого бюджету в Менську міську раду. Рішення про подальше використання деревини виносити на сесію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</w:t>
      </w:r>
      <w:r>
        <w:rPr>
          <w:rFonts w:ascii="Times New Roman" w:hAnsi="Times New Roman" w:cs="Times New Roman" w:eastAsia="Times New Roman"/>
          <w:sz w:val="28"/>
        </w:rPr>
        <w:t xml:space="preserve">Організацію виконання цього рішення покласти на відділ </w:t>
      </w:r>
      <w:r>
        <w:rPr>
          <w:rFonts w:ascii="Times New Roman" w:hAnsi="Times New Roman" w:cs="Times New Roman" w:eastAsia="Times New Roman"/>
          <w:sz w:val="28"/>
        </w:rPr>
        <w:t xml:space="preserve">архітектури, містобудування та житлово-комунального господарства Менської міської ради та відділ </w:t>
      </w:r>
      <w:r>
        <w:rPr>
          <w:rFonts w:ascii="Times New Roman" w:hAnsi="Times New Roman" w:cs="Times New Roman" w:eastAsia="Times New Roman"/>
          <w:sz w:val="28"/>
        </w:rPr>
        <w:t xml:space="preserve">бухгалтерського обліку та зв</w:t>
      </w:r>
      <w:r>
        <w:rPr>
          <w:rFonts w:ascii="Times New Roman" w:hAnsi="Times New Roman" w:cs="Times New Roman" w:eastAsia="Times New Roman"/>
          <w:sz w:val="28"/>
        </w:rPr>
        <w:t xml:space="preserve">ітності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 координацію - на заступника міського голови з питань діяльності виконавчих </w:t>
      </w:r>
      <w:r>
        <w:rPr>
          <w:rFonts w:ascii="Times New Roman" w:hAnsi="Times New Roman" w:cs="Times New Roman" w:eastAsia="Times New Roman"/>
          <w:sz w:val="28"/>
        </w:rPr>
        <w:t xml:space="preserve">органів міської ради Гайду</w:t>
      </w:r>
      <w:r>
        <w:rPr>
          <w:rFonts w:ascii="Times New Roman" w:hAnsi="Times New Roman" w:cs="Times New Roman" w:eastAsia="Times New Roman"/>
          <w:sz w:val="28"/>
        </w:rPr>
        <w:t xml:space="preserve">кевича М. В.</w:t>
      </w:r>
      <w:r>
        <w:rPr>
          <w:rFonts w:ascii="Times New Roman" w:hAnsi="Times New Roman" w:cs="Times New Roman" w:eastAsia="Times New Roman"/>
          <w:sz w:val="28"/>
        </w:rPr>
        <w:t xml:space="preserve">, контроль – на постійну комісію з питань планування, фінансів, бюджету та соціально-економічного розвитку.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        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Г.А. Примаков</w:t>
      </w:r>
      <w:r/>
    </w:p>
    <w:p>
      <w:pPr>
        <w:shd w:val="nil" w:color="auto" w:fill="FFFFFF"/>
      </w:pPr>
      <w:r>
        <w:rPr>
          <w:rFonts w:ascii="Times New Roman" w:hAnsi="Times New Roman" w:cs="Times New Roman" w:eastAsia="Times New Roman"/>
          <w:sz w:val="28"/>
        </w:rPr>
        <w:br w:type="page"/>
      </w:r>
      <w:r/>
    </w:p>
    <w:p>
      <w:pPr>
        <w:ind w:left="5954"/>
        <w:jc w:val="both"/>
        <w:spacing w:lineRule="auto" w:line="240" w:after="0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/>
          <w:sz w:val="18"/>
          <w:szCs w:val="20"/>
        </w:rPr>
        <w:t xml:space="preserve">Додаток до рішення 36 сесії Менської міської ради 7 скликання від 26.12.2019 р. </w:t>
      </w:r>
      <w:r>
        <w:rPr>
          <w:rFonts w:ascii="Times New Roman" w:hAnsi="Times New Roman" w:cs="Times New Roman" w:eastAsia="Times New Roman"/>
          <w:color w:val="000000"/>
          <w:sz w:val="18"/>
        </w:rPr>
        <w:t xml:space="preserve"> «Про затвердження</w:t>
      </w:r>
      <w:r>
        <w:rPr>
          <w:rFonts w:ascii="Times New Roman" w:hAnsi="Times New Roman" w:cs="Times New Roman" w:eastAsia="Times New Roman"/>
          <w:color w:val="000000"/>
          <w:sz w:val="18"/>
        </w:rPr>
        <w:t xml:space="preserve">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>
        <w:rPr>
          <w:rFonts w:ascii="Times New Roman" w:hAnsi="Times New Roman" w:cs="Times New Roman" w:eastAsia="Times New Roman"/>
          <w:color w:val="000000"/>
          <w:sz w:val="1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18"/>
        </w:rPr>
        <w:t xml:space="preserve"> №</w:t>
      </w:r>
      <w:r>
        <w:rPr>
          <w:rFonts w:ascii="Times New Roman" w:hAnsi="Times New Roman" w:cs="Times New Roman" w:eastAsia="Times New Roman"/>
          <w:color w:val="000000"/>
          <w:sz w:val="18"/>
        </w:rPr>
        <w:t xml:space="preserve">680</w:t>
      </w:r>
      <w:bookmarkStart w:id="0" w:name="_GoBack"/>
      <w:r>
        <w:rPr>
          <w:sz w:val="18"/>
        </w:rPr>
      </w:r>
      <w:bookmarkEnd w:id="0"/>
      <w:r>
        <w:rPr>
          <w:sz w:val="18"/>
        </w:rPr>
      </w:r>
      <w:r>
        <w:rPr>
          <w:sz w:val="18"/>
        </w:rPr>
      </w:r>
    </w:p>
    <w:p>
      <w:pPr>
        <w:jc w:val="center"/>
        <w:spacing w:lineRule="auto" w:line="240" w:after="0" w:before="17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видалення аварійних та небезпечних дерев на території населених пунктів Менської об’єднаної територіальної громади на 2020-2022 роки</w:t>
      </w:r>
      <w:r/>
    </w:p>
    <w:p>
      <w:pPr>
        <w:spacing w:lineRule="auto" w:line="240" w:after="57" w:before="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ЗАГАЛЬНІ ПОЛОЖЕННЯ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Благоустрій населених пунктів –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шуму та інше,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Бла</w:t>
      </w:r>
      <w:r>
        <w:rPr>
          <w:rFonts w:ascii="Times New Roman" w:hAnsi="Times New Roman" w:cs="Times New Roman" w:eastAsia="Times New Roman"/>
          <w:sz w:val="28"/>
        </w:rPr>
        <w:t xml:space="preserve">гоустрою населених пунктів та зеленим насадженням в нашій державі приділяється значна роль.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сьогоднішній день проблема видалення аварійних, сухостійних, дерев та дерев, які досягли вікової межі насаджень загального користування на території громади стає актуальною.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Таким чином, реалізація «Програми з видалення аварійних та перерослих дерев на території населених пунктів Менської об’єднаної територіальної громади на 2020-2022 рр.» (далі – Програма) є одним з головних напрямків її розвитку, з огляду на масштаб передбачу</w:t>
      </w:r>
      <w:r>
        <w:rPr>
          <w:rFonts w:ascii="Times New Roman" w:hAnsi="Times New Roman" w:cs="Times New Roman" w:eastAsia="Times New Roman"/>
          <w:sz w:val="28"/>
        </w:rPr>
        <w:t xml:space="preserve">ваних робіт і необхідність встановлення нормативно-правових основ діяльності всього комплексу природних і озеленених територій населених пунктів громади в цілому.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Необхі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дність застосування програмного підходу до рішення проблеми визначає її соціально-економічний характер, неможливість комплексного рішення даної проблеми без підтримки місцевого бюджету й контролю з боку керівництва Менської ОТГ.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вирішення зазначених проблем і передбачається розробка Програми.</w:t>
      </w:r>
      <w:r/>
    </w:p>
    <w:p>
      <w:pPr>
        <w:spacing w:lineRule="auto" w:line="240" w:after="57" w:before="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ОБҐРУНТОВУВАННЯ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НЕОБХІДНОСТІ</w:t>
      </w:r>
      <w:r>
        <w:rPr>
          <w:rFonts w:ascii="Times New Roman" w:hAnsi="Times New Roman" w:cs="Times New Roman" w:eastAsia="Times New Roman"/>
          <w:b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ПРИЙНЯТТЯ ПРОГРАМИ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Програма </w:t>
      </w:r>
      <w:r>
        <w:rPr>
          <w:rFonts w:ascii="Times New Roman" w:hAnsi="Times New Roman" w:cs="Times New Roman" w:eastAsia="Times New Roman"/>
          <w:sz w:val="28"/>
        </w:rPr>
        <w:t xml:space="preserve">розроблена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до: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</w:t>
      </w:r>
      <w:r>
        <w:rPr>
          <w:rFonts w:ascii="Times New Roman" w:hAnsi="Times New Roman" w:cs="Times New Roman" w:eastAsia="Times New Roman"/>
          <w:sz w:val="28"/>
        </w:rPr>
        <w:t xml:space="preserve">у України "Про місцеве самоврядування в Україні" (від 21.05.1997р. № 280/97-ВР);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Закону України "Про благоустрій населених пунктів" (06.09.2005р. № 2807-ІV);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Постанов</w:t>
      </w:r>
      <w:r>
        <w:rPr>
          <w:rFonts w:ascii="Times New Roman" w:hAnsi="Times New Roman" w:cs="Times New Roman" w:eastAsia="Times New Roman"/>
          <w:sz w:val="28"/>
        </w:rPr>
        <w:t xml:space="preserve">и Кабінету Міністрів України від 01.08.2006р. № 1045 із змінами і доповненнями «Про затвердження Порядку видалення дерев, кущів, газонів і квітників у населених пунктах»;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Наказу Міністерства будівництва, архітектури та житлово-комунального господарства в</w:t>
      </w:r>
      <w:r>
        <w:rPr>
          <w:rFonts w:ascii="Times New Roman" w:hAnsi="Times New Roman" w:cs="Times New Roman" w:eastAsia="Times New Roman"/>
          <w:sz w:val="28"/>
        </w:rPr>
        <w:t xml:space="preserve">ід 10.04.2006р. № 105 «Про затвердження Правил 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тримання зелених насаджень в населених пунктах України».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Проблема полягає в тому, що в населених пунктах Менської об’єднаної територіальної громади на даний час нараховується велика кількість аварійно-небезпечних дерев, більшість з яких є небезпечними для будівель, автотранспорту, електромереж, комунікацій та жит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тя жителів.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Програми передбачається здійснити за рахунок коштів міського бюджету та інших джерел фінансування, не заборонених законодавством.</w:t>
      </w:r>
      <w:r/>
    </w:p>
    <w:p>
      <w:pPr>
        <w:spacing w:lineRule="auto" w:line="240" w:after="57" w:before="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МЕТА І ЗАВДАННЯ </w:t>
      </w:r>
      <w:r>
        <w:rPr>
          <w:rFonts w:ascii="Times New Roman" w:hAnsi="Times New Roman" w:cs="Times New Roman" w:eastAsia="Times New Roman"/>
          <w:b/>
          <w:sz w:val="28"/>
        </w:rPr>
        <w:t xml:space="preserve">ПРИЙНЯТТЯ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Метою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Програми є попередження виникнення надзвичайних ситуацій на території населених пунктів Менської ОТГ, пов’язаних з аварійністю дерев, забезпечення безпеки для життя, здоров’я та майна людей, запобігання аварійним відключенням повітряних ліній електропереда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ч, ліній зв’язку, виникненням інших аварійних ситуацій.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завданням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Програми є забезпечити протягом 2020-2022 років організацію комплексу робіт по виконанню робіт з видалення аварійних та перерослих дерев в місцях найбільшого скупчення людей, транспорту, комунікацій, тощо.</w:t>
      </w:r>
      <w:r/>
    </w:p>
    <w:p>
      <w:pPr>
        <w:spacing w:lineRule="auto" w:line="240" w:after="57" w:before="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ОСНОВНІ ЗАХОДИ </w:t>
      </w:r>
      <w:r>
        <w:rPr>
          <w:rFonts w:ascii="Times New Roman" w:hAnsi="Times New Roman" w:cs="Times New Roman" w:eastAsia="Times New Roman"/>
          <w:b/>
          <w:sz w:val="28"/>
        </w:rPr>
        <w:t xml:space="preserve">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Видалення зелених насаджень на території населених пунктів Менської ОТГ здійснюється за рішенням виконавчого комітету міської ради на підставі ордера.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Видалення зелених насаджень проводиться у відповідності до Порядку видалення дерев, кущів, газонів і квітників у населених пунктах України (далі – Порядок), затвердженого Постановою Кабінету Міністрів України від 01.08.2006 № 1045. </w:t>
      </w:r>
      <w:r/>
    </w:p>
    <w:p>
      <w:pPr>
        <w:ind w:left="72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Видалення зелених насаджень здійснюється у разі: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будівництва об’єкта архітектури на підставі документів, визначених части</w:t>
      </w:r>
      <w:r>
        <w:rPr>
          <w:rFonts w:ascii="Times New Roman" w:hAnsi="Times New Roman" w:cs="Times New Roman" w:eastAsia="Times New Roman"/>
          <w:sz w:val="28"/>
        </w:rPr>
        <w:t xml:space="preserve">ною першою статті 34 </w:t>
      </w:r>
      <w:hyperlink r:id="rId9" w:history="1">
        <w:r>
          <w:rPr>
            <w:rFonts w:ascii="Times New Roman" w:hAnsi="Times New Roman" w:cs="Times New Roman" w:eastAsia="Times New Roman"/>
            <w:sz w:val="28"/>
          </w:rPr>
          <w:t xml:space="preserve">Закону України «Про регулювання містобудівної діяльності</w:t>
        </w:r>
      </w:hyperlink>
      <w:r>
        <w:rPr>
          <w:rFonts w:ascii="Times New Roman" w:hAnsi="Times New Roman" w:cs="Times New Roman" w:eastAsia="Times New Roman"/>
          <w:sz w:val="28"/>
        </w:rPr>
        <w:t xml:space="preserve">»;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ліквідації аварійної ситуації на інженерних мережах населеного пункту;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відновлення світлового режиму в житловому приміщенні, що затіняється деревами;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ремонтних та експлуатаційних робіт в охоронній зоні повітряних ліній </w:t>
      </w:r>
      <w:r>
        <w:rPr>
          <w:rFonts w:ascii="Times New Roman" w:hAnsi="Times New Roman" w:cs="Times New Roman" w:eastAsia="Times New Roman"/>
          <w:sz w:val="28"/>
        </w:rPr>
        <w:t xml:space="preserve">електропередачі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досягне</w:t>
      </w:r>
      <w:r>
        <w:rPr>
          <w:rFonts w:ascii="Times New Roman" w:hAnsi="Times New Roman" w:cs="Times New Roman" w:eastAsia="Times New Roman"/>
          <w:sz w:val="28"/>
        </w:rPr>
        <w:t xml:space="preserve">ння деревом вікової межі;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провадження господарської діяльності на території розсадників з вирощування декоративних дерев та кущів;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ліквідації наслідків стихійного лиха, аварійної та надзвичайної ситуац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ії.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процесі ліквідації наслідків стихійного лиха, аварійної та надзвичайної ситуації, а також у разі, коли стан зелених насаджень загрожує життю, здоров’ю людей чи майну громадян, видалення зелених насаджень здійснюється негайно з подальшим оформленням акту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гідно Порядку.</w:t>
      </w:r>
      <w:r/>
    </w:p>
    <w:p>
      <w:pPr>
        <w:spacing w:lineRule="auto" w:line="240" w:after="57" w:before="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ФІНАНСОВЕ ЗАБЕЗПЕЧЕННЯ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Програми планується здійснювати за рахунок коштів міського бюджету та інших джерел фінансування незаборонені законодавством.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Обсяги фінансування Програми за рахунок коштів міського бюджету визначаються на 2020-2022 роки відповідно до кошторису в межах бюджетних асигнувань.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Крім того рекомендується головним розпорядникам бюджетних коштів, керівникам інших підприємств установ та організацій (незалежно від форми власності), головам ОСББ при плануванні витрат на 2020-2022 роки запланувати кошти на видалення аварійних та переросли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дерев на їх територіях. Особливу увагу звернути на аварійні дерева в закладах освіти (школи, дошкільні навчальні заклади), охорони здоров’я, соціально-культурної сфери, біля центральних міських доріг та інших місць найбільшого скупчення людей.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Кошти, виділені з міського бюджету використовуються виключно для оплати послуг з видалення аварійно-небезпечних дерев (визначених рішенням виконавчого комітету Менської міської ради) на території населених пунктів Менської об’єднаної територіальної громади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такому обсязі:</w:t>
      </w:r>
      <w:r/>
    </w:p>
    <w:tbl>
      <w:tblPr>
        <w:tblStyle w:val="226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2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Рік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</w:rPr>
              <w:t xml:space="preserve">Джерела фінансування, тис.грн.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</w:rPr>
              <w:t xml:space="preserve">міський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</w:rPr>
              <w:t xml:space="preserve">Інші 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</w:rPr>
              <w:t xml:space="preserve">Всього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2020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20,00*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2021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20,00*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210,00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630,00</w:t>
            </w:r>
            <w:r/>
          </w:p>
        </w:tc>
      </w:tr>
    </w:tbl>
    <w:p>
      <w:pPr>
        <w:ind w:left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* - орієнтовна сума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 плануванні видатків міського бюджету на 2020-2022 роки слід запланувати кошти в сумі 190000 грн. щороку для проведення робіт з видалення аварійних та сухостійних дерев згідно додатку 1.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Видалену деревину, оплата послуг за видалення якої за Програмою здійснюватиметься за рахунок місцевого бюджету, оприбутковувати в Менську міську раду. Рішення про подальше її використання деревини приймається сесією міської ради. </w:t>
      </w:r>
      <w:r/>
    </w:p>
    <w:p>
      <w:pPr>
        <w:spacing w:lineRule="auto" w:line="240" w:after="57" w:before="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6. ОЧІКУВАНІ </w:t>
      </w:r>
      <w:r>
        <w:rPr>
          <w:rFonts w:ascii="Times New Roman" w:hAnsi="Times New Roman" w:cs="Times New Roman" w:eastAsia="Times New Roman"/>
          <w:b/>
          <w:sz w:val="28"/>
        </w:rPr>
        <w:t xml:space="preserve">РЕЗУЛЬТАТИ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Реалізація програмних заходів прямим розрахунком оцінити складно. Кінцеве головне завдання органів місцевого самоврядування - це створення сприятливих безпечних умов для жителів міста, поліпшення архітектурно-художнього обліку населених пунктів Менської міс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ької об’єднаної територіальної громади , покращення екологічної ситуації у місті, зменшення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випадків травматизму у людей, захист споруд та техніки від аварійних руйнувань.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Програми дасть змогу забезпечити: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безпеку ж</w:t>
      </w:r>
      <w:r>
        <w:rPr>
          <w:rFonts w:ascii="Times New Roman" w:hAnsi="Times New Roman" w:cs="Times New Roman" w:eastAsia="Times New Roman"/>
          <w:sz w:val="28"/>
        </w:rPr>
        <w:t xml:space="preserve">иттю, здоров’ю та майну громадян;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безпечну експлуатацію ліній електропередач, ліній зв’язку та інших інженерних мереж;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покращення екологічної ситуації на території населених пунктів ОТГ;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омолодження паркових та рекреаційних зон;</w:t>
      </w:r>
      <w:r/>
    </w:p>
    <w:p>
      <w:pPr>
        <w:pStyle w:val="212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зменшення кільк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ості дорожньо-транспортних пригод.</w:t>
      </w:r>
      <w:r/>
    </w:p>
    <w:sectPr>
      <w:footnotePr/>
      <w:type w:val="nextPage"/>
      <w:pgSz w:w="11906" w:h="16838"/>
      <w:pgMar w:top="851" w:right="567" w:bottom="822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Times New Roman">
    <w:panose1 w:val="020206030504050203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57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7"/>
      </w:pPr>
    </w:lvl>
    <w:lvl w:ilvl="1">
      <w:start w:val="1"/>
      <w:numFmt w:val="lowerLetter"/>
      <w:suff w:val="tab"/>
      <w:lvlText w:val="%2."/>
      <w:lvlJc w:val="left"/>
      <w:pPr>
        <w:ind w:left="1440" w:hanging="357"/>
      </w:pPr>
    </w:lvl>
    <w:lvl w:ilvl="2">
      <w:start w:val="1"/>
      <w:numFmt w:val="lowerRoman"/>
      <w:suff w:val="tab"/>
      <w:lvlText w:val="%3."/>
      <w:lvlJc w:val="right"/>
      <w:pPr>
        <w:ind w:left="2160" w:hanging="177"/>
      </w:pPr>
    </w:lvl>
    <w:lvl w:ilvl="3">
      <w:start w:val="1"/>
      <w:numFmt w:val="decimal"/>
      <w:suff w:val="tab"/>
      <w:lvlText w:val="%4."/>
      <w:lvlJc w:val="left"/>
      <w:pPr>
        <w:ind w:left="2880" w:hanging="357"/>
      </w:pPr>
    </w:lvl>
    <w:lvl w:ilvl="4">
      <w:start w:val="1"/>
      <w:numFmt w:val="lowerLetter"/>
      <w:suff w:val="tab"/>
      <w:lvlText w:val="%5."/>
      <w:lvlJc w:val="left"/>
      <w:pPr>
        <w:ind w:left="3600" w:hanging="357"/>
      </w:pPr>
    </w:lvl>
    <w:lvl w:ilvl="5">
      <w:start w:val="1"/>
      <w:numFmt w:val="lowerRoman"/>
      <w:suff w:val="tab"/>
      <w:lvlText w:val="%6."/>
      <w:lvlJc w:val="right"/>
      <w:pPr>
        <w:ind w:left="4320" w:hanging="177"/>
      </w:pPr>
    </w:lvl>
    <w:lvl w:ilvl="6">
      <w:start w:val="1"/>
      <w:numFmt w:val="decimal"/>
      <w:suff w:val="tab"/>
      <w:lvlText w:val="%7."/>
      <w:lvlJc w:val="left"/>
      <w:pPr>
        <w:ind w:left="5040" w:hanging="357"/>
      </w:pPr>
    </w:lvl>
    <w:lvl w:ilvl="7">
      <w:start w:val="1"/>
      <w:numFmt w:val="lowerLetter"/>
      <w:suff w:val="tab"/>
      <w:lvlText w:val="%8."/>
      <w:lvlJc w:val="left"/>
      <w:pPr>
        <w:ind w:left="5760" w:hanging="357"/>
      </w:pPr>
    </w:lvl>
    <w:lvl w:ilvl="8">
      <w:start w:val="1"/>
      <w:numFmt w:val="lowerRoman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</w:pPr>
    </w:lvl>
    <w:lvl w:ilvl="1">
      <w:start w:val="1"/>
      <w:numFmt w:val="lowerLetter"/>
      <w:suff w:val="tab"/>
      <w:lvlText w:val="%2."/>
      <w:lvlJc w:val="left"/>
      <w:pPr>
        <w:ind w:left="1440" w:hanging="357"/>
      </w:pPr>
    </w:lvl>
    <w:lvl w:ilvl="2">
      <w:start w:val="1"/>
      <w:numFmt w:val="lowerRoman"/>
      <w:suff w:val="tab"/>
      <w:lvlText w:val="%3."/>
      <w:lvlJc w:val="right"/>
      <w:pPr>
        <w:ind w:left="2160" w:hanging="177"/>
      </w:pPr>
    </w:lvl>
    <w:lvl w:ilvl="3">
      <w:start w:val="1"/>
      <w:numFmt w:val="decimal"/>
      <w:suff w:val="tab"/>
      <w:lvlText w:val="%4."/>
      <w:lvlJc w:val="left"/>
      <w:pPr>
        <w:ind w:left="2880" w:hanging="357"/>
      </w:pPr>
    </w:lvl>
    <w:lvl w:ilvl="4">
      <w:start w:val="1"/>
      <w:numFmt w:val="lowerLetter"/>
      <w:suff w:val="tab"/>
      <w:lvlText w:val="%5."/>
      <w:lvlJc w:val="left"/>
      <w:pPr>
        <w:ind w:left="3600" w:hanging="357"/>
      </w:pPr>
    </w:lvl>
    <w:lvl w:ilvl="5">
      <w:start w:val="1"/>
      <w:numFmt w:val="lowerRoman"/>
      <w:suff w:val="tab"/>
      <w:lvlText w:val="%6."/>
      <w:lvlJc w:val="right"/>
      <w:pPr>
        <w:ind w:left="4320" w:hanging="177"/>
      </w:pPr>
    </w:lvl>
    <w:lvl w:ilvl="6">
      <w:start w:val="1"/>
      <w:numFmt w:val="decimal"/>
      <w:suff w:val="tab"/>
      <w:lvlText w:val="%7."/>
      <w:lvlJc w:val="left"/>
      <w:pPr>
        <w:ind w:left="5040" w:hanging="357"/>
      </w:pPr>
    </w:lvl>
    <w:lvl w:ilvl="7">
      <w:start w:val="1"/>
      <w:numFmt w:val="lowerLetter"/>
      <w:suff w:val="tab"/>
      <w:lvlText w:val="%8."/>
      <w:lvlJc w:val="left"/>
      <w:pPr>
        <w:ind w:left="5760" w:hanging="357"/>
      </w:pPr>
    </w:lvl>
    <w:lvl w:ilvl="8">
      <w:start w:val="1"/>
      <w:numFmt w:val="lowerRoman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57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ü"/>
      <w:lvlJc w:val="left"/>
      <w:pPr>
        <w:ind w:left="709" w:hanging="357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o"/>
      <w:lvlJc w:val="left"/>
      <w:pPr>
        <w:ind w:left="1429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7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57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00"/>
    <w:link w:val="1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00"/>
    <w:link w:val="1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00"/>
    <w:link w:val="1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00"/>
    <w:link w:val="1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00"/>
    <w:link w:val="1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00"/>
    <w:link w:val="1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00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00"/>
    <w:link w:val="1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00"/>
    <w:link w:val="1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00"/>
    <w:link w:val="214"/>
    <w:uiPriority w:val="10"/>
    <w:rPr>
      <w:sz w:val="48"/>
      <w:szCs w:val="48"/>
    </w:rPr>
  </w:style>
  <w:style w:type="character" w:styleId="35">
    <w:name w:val="Subtitle Char"/>
    <w:basedOn w:val="200"/>
    <w:link w:val="216"/>
    <w:uiPriority w:val="11"/>
    <w:rPr>
      <w:sz w:val="24"/>
      <w:szCs w:val="24"/>
    </w:rPr>
  </w:style>
  <w:style w:type="character" w:styleId="37">
    <w:name w:val="Quote Char"/>
    <w:link w:val="218"/>
    <w:uiPriority w:val="29"/>
    <w:rPr>
      <w:i/>
    </w:rPr>
  </w:style>
  <w:style w:type="character" w:styleId="39">
    <w:name w:val="Intense Quote Char"/>
    <w:link w:val="220"/>
    <w:uiPriority w:val="30"/>
    <w:rPr>
      <w:i/>
    </w:rPr>
  </w:style>
  <w:style w:type="character" w:styleId="41">
    <w:name w:val="Header Char"/>
    <w:basedOn w:val="200"/>
    <w:link w:val="222"/>
    <w:uiPriority w:val="99"/>
  </w:style>
  <w:style w:type="character" w:styleId="43">
    <w:name w:val="Footer Char"/>
    <w:basedOn w:val="200"/>
    <w:link w:val="224"/>
    <w:uiPriority w:val="99"/>
  </w:style>
  <w:style w:type="character" w:styleId="68">
    <w:name w:val="Footnote Text Char"/>
    <w:link w:val="249"/>
    <w:uiPriority w:val="99"/>
    <w:rPr>
      <w:sz w:val="18"/>
    </w:rPr>
  </w:style>
  <w:style w:type="paragraph" w:styleId="190" w:default="1">
    <w:name w:val="Normal"/>
    <w:qFormat/>
  </w:style>
  <w:style w:type="paragraph" w:styleId="191">
    <w:name w:val="Heading 1"/>
    <w:basedOn w:val="190"/>
    <w:next w:val="190"/>
    <w:link w:val="2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92">
    <w:name w:val="Heading 2"/>
    <w:basedOn w:val="190"/>
    <w:next w:val="190"/>
    <w:link w:val="2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93">
    <w:name w:val="Heading 3"/>
    <w:basedOn w:val="190"/>
    <w:next w:val="190"/>
    <w:link w:val="2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94">
    <w:name w:val="Heading 4"/>
    <w:basedOn w:val="190"/>
    <w:next w:val="190"/>
    <w:link w:val="2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95">
    <w:name w:val="Heading 5"/>
    <w:basedOn w:val="190"/>
    <w:next w:val="190"/>
    <w:link w:val="2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196">
    <w:name w:val="Heading 6"/>
    <w:basedOn w:val="190"/>
    <w:next w:val="190"/>
    <w:link w:val="2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197">
    <w:name w:val="Heading 7"/>
    <w:basedOn w:val="190"/>
    <w:next w:val="190"/>
    <w:link w:val="2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198">
    <w:name w:val="Heading 8"/>
    <w:basedOn w:val="190"/>
    <w:next w:val="190"/>
    <w:link w:val="2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199">
    <w:name w:val="Heading 9"/>
    <w:basedOn w:val="190"/>
    <w:next w:val="190"/>
    <w:link w:val="2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00" w:default="1">
    <w:name w:val="Default Paragraph Font"/>
    <w:uiPriority w:val="1"/>
    <w:semiHidden/>
    <w:unhideWhenUsed/>
  </w:style>
  <w:style w:type="table" w:styleId="2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2" w:default="1">
    <w:name w:val="No List"/>
    <w:uiPriority w:val="99"/>
    <w:semiHidden/>
    <w:unhideWhenUsed/>
  </w:style>
  <w:style w:type="character" w:styleId="203" w:customStyle="1">
    <w:name w:val="Заголовок 1 Знак"/>
    <w:basedOn w:val="200"/>
    <w:link w:val="191"/>
    <w:uiPriority w:val="9"/>
    <w:rPr>
      <w:rFonts w:ascii="Arial" w:hAnsi="Arial" w:cs="Arial" w:eastAsia="Arial"/>
      <w:sz w:val="40"/>
      <w:szCs w:val="40"/>
    </w:rPr>
  </w:style>
  <w:style w:type="character" w:styleId="204" w:customStyle="1">
    <w:name w:val="Заголовок 2 Знак"/>
    <w:basedOn w:val="200"/>
    <w:link w:val="192"/>
    <w:uiPriority w:val="9"/>
    <w:rPr>
      <w:rFonts w:ascii="Arial" w:hAnsi="Arial" w:cs="Arial" w:eastAsia="Arial"/>
      <w:sz w:val="34"/>
    </w:rPr>
  </w:style>
  <w:style w:type="character" w:styleId="205" w:customStyle="1">
    <w:name w:val="Заголовок 3 Знак"/>
    <w:basedOn w:val="200"/>
    <w:link w:val="193"/>
    <w:uiPriority w:val="9"/>
    <w:rPr>
      <w:rFonts w:ascii="Arial" w:hAnsi="Arial" w:cs="Arial" w:eastAsia="Arial"/>
      <w:sz w:val="30"/>
      <w:szCs w:val="30"/>
    </w:rPr>
  </w:style>
  <w:style w:type="character" w:styleId="206" w:customStyle="1">
    <w:name w:val="Заголовок 4 Знак"/>
    <w:basedOn w:val="200"/>
    <w:link w:val="194"/>
    <w:uiPriority w:val="9"/>
    <w:rPr>
      <w:rFonts w:ascii="Arial" w:hAnsi="Arial" w:cs="Arial" w:eastAsia="Arial"/>
      <w:b/>
      <w:bCs/>
      <w:sz w:val="26"/>
      <w:szCs w:val="26"/>
    </w:rPr>
  </w:style>
  <w:style w:type="character" w:styleId="207" w:customStyle="1">
    <w:name w:val="Заголовок 5 Знак"/>
    <w:basedOn w:val="200"/>
    <w:link w:val="195"/>
    <w:uiPriority w:val="9"/>
    <w:rPr>
      <w:rFonts w:ascii="Arial" w:hAnsi="Arial" w:cs="Arial" w:eastAsia="Arial"/>
      <w:b/>
      <w:bCs/>
      <w:sz w:val="24"/>
      <w:szCs w:val="24"/>
    </w:rPr>
  </w:style>
  <w:style w:type="character" w:styleId="208" w:customStyle="1">
    <w:name w:val="Заголовок 6 Знак"/>
    <w:basedOn w:val="200"/>
    <w:link w:val="196"/>
    <w:uiPriority w:val="9"/>
    <w:rPr>
      <w:rFonts w:ascii="Arial" w:hAnsi="Arial" w:cs="Arial" w:eastAsia="Arial"/>
      <w:b/>
      <w:bCs/>
      <w:sz w:val="22"/>
      <w:szCs w:val="22"/>
    </w:rPr>
  </w:style>
  <w:style w:type="character" w:styleId="209" w:customStyle="1">
    <w:name w:val="Заголовок 7 Знак"/>
    <w:basedOn w:val="200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0" w:customStyle="1">
    <w:name w:val="Заголовок 8 Знак"/>
    <w:basedOn w:val="200"/>
    <w:link w:val="198"/>
    <w:uiPriority w:val="9"/>
    <w:rPr>
      <w:rFonts w:ascii="Arial" w:hAnsi="Arial" w:cs="Arial" w:eastAsia="Arial"/>
      <w:i/>
      <w:iCs/>
      <w:sz w:val="22"/>
      <w:szCs w:val="22"/>
    </w:rPr>
  </w:style>
  <w:style w:type="character" w:styleId="211" w:customStyle="1">
    <w:name w:val="Заголовок 9 Знак"/>
    <w:basedOn w:val="200"/>
    <w:link w:val="199"/>
    <w:uiPriority w:val="9"/>
    <w:rPr>
      <w:rFonts w:ascii="Arial" w:hAnsi="Arial" w:cs="Arial" w:eastAsia="Arial"/>
      <w:i/>
      <w:iCs/>
      <w:sz w:val="21"/>
      <w:szCs w:val="21"/>
    </w:rPr>
  </w:style>
  <w:style w:type="paragraph" w:styleId="212">
    <w:name w:val="List Paragraph"/>
    <w:basedOn w:val="190"/>
    <w:qFormat/>
    <w:uiPriority w:val="34"/>
    <w:pPr>
      <w:contextualSpacing w:val="true"/>
      <w:ind w:left="720"/>
    </w:pPr>
  </w:style>
  <w:style w:type="paragraph" w:styleId="213">
    <w:name w:val="No Spacing"/>
    <w:qFormat/>
    <w:uiPriority w:val="1"/>
    <w:pPr>
      <w:spacing w:lineRule="auto" w:line="240" w:after="0"/>
    </w:pPr>
  </w:style>
  <w:style w:type="paragraph" w:styleId="214">
    <w:name w:val="Title"/>
    <w:basedOn w:val="190"/>
    <w:next w:val="190"/>
    <w:link w:val="21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15" w:customStyle="1">
    <w:name w:val="Название Знак"/>
    <w:basedOn w:val="200"/>
    <w:link w:val="214"/>
    <w:uiPriority w:val="10"/>
    <w:rPr>
      <w:sz w:val="48"/>
      <w:szCs w:val="48"/>
    </w:rPr>
  </w:style>
  <w:style w:type="paragraph" w:styleId="216">
    <w:name w:val="Subtitle"/>
    <w:basedOn w:val="190"/>
    <w:next w:val="190"/>
    <w:link w:val="217"/>
    <w:qFormat/>
    <w:uiPriority w:val="11"/>
    <w:rPr>
      <w:sz w:val="24"/>
      <w:szCs w:val="24"/>
    </w:rPr>
    <w:pPr>
      <w:spacing w:before="200"/>
    </w:pPr>
  </w:style>
  <w:style w:type="character" w:styleId="217" w:customStyle="1">
    <w:name w:val="Подзаголовок Знак"/>
    <w:basedOn w:val="200"/>
    <w:link w:val="216"/>
    <w:uiPriority w:val="11"/>
    <w:rPr>
      <w:sz w:val="24"/>
      <w:szCs w:val="24"/>
    </w:rPr>
  </w:style>
  <w:style w:type="paragraph" w:styleId="218">
    <w:name w:val="Quote"/>
    <w:basedOn w:val="190"/>
    <w:next w:val="190"/>
    <w:link w:val="219"/>
    <w:qFormat/>
    <w:uiPriority w:val="29"/>
    <w:rPr>
      <w:i/>
    </w:rPr>
    <w:pPr>
      <w:ind w:left="720" w:right="720"/>
    </w:pPr>
  </w:style>
  <w:style w:type="character" w:styleId="219" w:customStyle="1">
    <w:name w:val="Цитата 2 Знак"/>
    <w:link w:val="218"/>
    <w:uiPriority w:val="29"/>
    <w:rPr>
      <w:i/>
    </w:rPr>
  </w:style>
  <w:style w:type="paragraph" w:styleId="220">
    <w:name w:val="Intense Quote"/>
    <w:basedOn w:val="190"/>
    <w:next w:val="190"/>
    <w:link w:val="2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1" w:customStyle="1">
    <w:name w:val="Выделенная цитата Знак"/>
    <w:link w:val="220"/>
    <w:uiPriority w:val="30"/>
    <w:rPr>
      <w:i/>
    </w:rPr>
  </w:style>
  <w:style w:type="paragraph" w:styleId="222">
    <w:name w:val="Header"/>
    <w:basedOn w:val="190"/>
    <w:link w:val="2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3" w:customStyle="1">
    <w:name w:val="Верхний колонтитул Знак"/>
    <w:basedOn w:val="200"/>
    <w:link w:val="222"/>
    <w:uiPriority w:val="99"/>
  </w:style>
  <w:style w:type="paragraph" w:styleId="224">
    <w:name w:val="Footer"/>
    <w:basedOn w:val="190"/>
    <w:link w:val="2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5" w:customStyle="1">
    <w:name w:val="Нижний колонтитул Знак"/>
    <w:basedOn w:val="200"/>
    <w:link w:val="224"/>
    <w:uiPriority w:val="99"/>
  </w:style>
  <w:style w:type="table" w:styleId="226">
    <w:name w:val="Table Grid"/>
    <w:basedOn w:val="2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7" w:customStyle="1">
    <w:name w:val="Lined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 w:customStyle="1">
    <w:name w:val="Lined - Accent 1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 w:customStyle="1">
    <w:name w:val="Lined - Accent 2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 w:customStyle="1">
    <w:name w:val="Lined - Accent 3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1" w:customStyle="1">
    <w:name w:val="Lined - Accent 4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 w:customStyle="1">
    <w:name w:val="Lined - Accent 5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 w:customStyle="1">
    <w:name w:val="Lined - Accent 6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4" w:customStyle="1">
    <w:name w:val="Bordered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5" w:customStyle="1">
    <w:name w:val="Bordered - Accent 1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6" w:customStyle="1">
    <w:name w:val="Bordered - Accent 2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7" w:customStyle="1">
    <w:name w:val="Bordered - Accent 3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8" w:customStyle="1">
    <w:name w:val="Bordered - Accent 4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9" w:customStyle="1">
    <w:name w:val="Bordered - Accent 5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0" w:customStyle="1">
    <w:name w:val="Bordered - Accent 6"/>
    <w:basedOn w:val="2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1" w:customStyle="1">
    <w:name w:val="Bordered &amp; Lined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 w:customStyle="1">
    <w:name w:val="Bordered &amp; Lined - Accent 1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 w:customStyle="1">
    <w:name w:val="Bordered &amp; Lined - Accent 2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 w:customStyle="1">
    <w:name w:val="Bordered &amp; Lined - Accent 3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5" w:customStyle="1">
    <w:name w:val="Bordered &amp; Lined - Accent 4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 w:customStyle="1">
    <w:name w:val="Bordered &amp; Lined - Accent 5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 w:customStyle="1">
    <w:name w:val="Bordered &amp; Lined - Accent 6"/>
    <w:basedOn w:val="2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8">
    <w:name w:val="Hyperlink"/>
    <w:uiPriority w:val="99"/>
    <w:unhideWhenUsed/>
    <w:rPr>
      <w:color w:val="0000FF" w:themeColor="hyperlink"/>
      <w:u w:val="single"/>
    </w:rPr>
  </w:style>
  <w:style w:type="paragraph" w:styleId="249">
    <w:name w:val="footnote text"/>
    <w:basedOn w:val="190"/>
    <w:link w:val="250"/>
    <w:uiPriority w:val="99"/>
    <w:semiHidden/>
    <w:unhideWhenUsed/>
    <w:rPr>
      <w:sz w:val="18"/>
    </w:rPr>
    <w:pPr>
      <w:spacing w:lineRule="auto" w:line="240" w:after="40"/>
    </w:pPr>
  </w:style>
  <w:style w:type="character" w:styleId="250" w:customStyle="1">
    <w:name w:val="Текст сноски Знак"/>
    <w:link w:val="249"/>
    <w:uiPriority w:val="99"/>
    <w:rPr>
      <w:sz w:val="18"/>
    </w:rPr>
  </w:style>
  <w:style w:type="character" w:styleId="251">
    <w:name w:val="footnote reference"/>
    <w:basedOn w:val="200"/>
    <w:uiPriority w:val="99"/>
    <w:unhideWhenUsed/>
    <w:rPr>
      <w:vertAlign w:val="superscript"/>
    </w:rPr>
  </w:style>
  <w:style w:type="paragraph" w:styleId="252">
    <w:name w:val="toc 1"/>
    <w:basedOn w:val="190"/>
    <w:next w:val="190"/>
    <w:uiPriority w:val="39"/>
    <w:unhideWhenUsed/>
    <w:pPr>
      <w:spacing w:after="57"/>
    </w:pPr>
  </w:style>
  <w:style w:type="paragraph" w:styleId="253">
    <w:name w:val="toc 2"/>
    <w:basedOn w:val="190"/>
    <w:next w:val="190"/>
    <w:uiPriority w:val="39"/>
    <w:unhideWhenUsed/>
    <w:pPr>
      <w:ind w:left="283"/>
      <w:spacing w:after="57"/>
    </w:pPr>
  </w:style>
  <w:style w:type="paragraph" w:styleId="254">
    <w:name w:val="toc 3"/>
    <w:basedOn w:val="190"/>
    <w:next w:val="190"/>
    <w:uiPriority w:val="39"/>
    <w:unhideWhenUsed/>
    <w:pPr>
      <w:ind w:left="567"/>
      <w:spacing w:after="57"/>
    </w:pPr>
  </w:style>
  <w:style w:type="paragraph" w:styleId="255">
    <w:name w:val="toc 4"/>
    <w:basedOn w:val="190"/>
    <w:next w:val="190"/>
    <w:uiPriority w:val="39"/>
    <w:unhideWhenUsed/>
    <w:pPr>
      <w:ind w:left="850"/>
      <w:spacing w:after="57"/>
    </w:pPr>
  </w:style>
  <w:style w:type="paragraph" w:styleId="256">
    <w:name w:val="toc 5"/>
    <w:basedOn w:val="190"/>
    <w:next w:val="190"/>
    <w:uiPriority w:val="39"/>
    <w:unhideWhenUsed/>
    <w:pPr>
      <w:ind w:left="1134"/>
      <w:spacing w:after="57"/>
    </w:pPr>
  </w:style>
  <w:style w:type="paragraph" w:styleId="257">
    <w:name w:val="toc 6"/>
    <w:basedOn w:val="190"/>
    <w:next w:val="190"/>
    <w:uiPriority w:val="39"/>
    <w:unhideWhenUsed/>
    <w:pPr>
      <w:ind w:left="1417"/>
      <w:spacing w:after="57"/>
    </w:pPr>
  </w:style>
  <w:style w:type="paragraph" w:styleId="258">
    <w:name w:val="toc 7"/>
    <w:basedOn w:val="190"/>
    <w:next w:val="190"/>
    <w:uiPriority w:val="39"/>
    <w:unhideWhenUsed/>
    <w:pPr>
      <w:ind w:left="1701"/>
      <w:spacing w:after="57"/>
    </w:pPr>
  </w:style>
  <w:style w:type="paragraph" w:styleId="259">
    <w:name w:val="toc 8"/>
    <w:basedOn w:val="190"/>
    <w:next w:val="190"/>
    <w:uiPriority w:val="39"/>
    <w:unhideWhenUsed/>
    <w:pPr>
      <w:ind w:left="1984"/>
      <w:spacing w:after="57"/>
    </w:pPr>
  </w:style>
  <w:style w:type="paragraph" w:styleId="260">
    <w:name w:val="toc 9"/>
    <w:basedOn w:val="190"/>
    <w:next w:val="190"/>
    <w:uiPriority w:val="39"/>
    <w:unhideWhenUsed/>
    <w:pPr>
      <w:ind w:left="2268"/>
      <w:spacing w:after="57"/>
    </w:pPr>
  </w:style>
  <w:style w:type="paragraph" w:styleId="26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hyperlink" Target="http://zakon2.rada.gov.ua/laws/show/3038-17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